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9076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f77aeff-a455-45df-8b3c-0ecf5faab383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8b86687-5a72-4b59-a1ad-f142bc84d443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районное управление образования</w:t>
      </w:r>
      <w:bookmarkEnd w:id="2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"Усть-Кяхтинская СОШ"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42A1" w:rsidTr="000D4161">
        <w:tc>
          <w:tcPr>
            <w:tcW w:w="3114" w:type="dxa"/>
          </w:tcPr>
          <w:p w:rsidR="00C53FFE" w:rsidRPr="007D42A1" w:rsidRDefault="006315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приказа]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D42A1" w:rsidRDefault="006315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D42A1" w:rsidRDefault="006315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7D42A1" w:rsidRDefault="006315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D42A1" w:rsidRDefault="006315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D42A1" w:rsidRDefault="006315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D42A1" w:rsidRDefault="006315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0E6D86" w:rsidRPr="007D42A1" w:rsidRDefault="006315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D42A1" w:rsidRDefault="006315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Pr="007D42A1" w:rsidRDefault="006315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D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D42A1" w:rsidRDefault="006315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24359)</w:t>
      </w: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«История. Базовый уровень»</w:t>
      </w:r>
    </w:p>
    <w:p w:rsidR="0048085B" w:rsidRPr="007D42A1" w:rsidRDefault="006315F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4808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Default="006315F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78fba71f-6b3f-4439-8fb8-a7edea5a668b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с.Усть-Кяхта</w:t>
      </w:r>
      <w:bookmarkEnd w:id="3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5f48e82-2039-42e7-af3c-2e15dad3dfca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D42A1" w:rsidRPr="007D42A1" w:rsidRDefault="007D42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9073"/>
      <w:bookmarkEnd w:id="0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истории на уровне среднего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7D42A1">
        <w:rPr>
          <w:rFonts w:ascii="Times New Roman" w:hAnsi="Times New Roman" w:cs="Times New Roman"/>
          <w:color w:val="333333"/>
          <w:sz w:val="24"/>
          <w:szCs w:val="24"/>
          <w:lang w:val="ru-RU"/>
        </w:rPr>
        <w:t>едеральной рабоч</w:t>
      </w:r>
      <w:r w:rsidRPr="007D42A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ом. История дает возможность познания и понимания человека и общества в связи прошлого, настоящего и будущего.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школьника, с</w:t>
      </w: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</w:t>
      </w: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</w:t>
      </w: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рование личностной позиции по отношению к прошлому и настоящему Отечества.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Федерации»).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48085B" w:rsidRPr="007D42A1" w:rsidRDefault="0048085B">
      <w:pPr>
        <w:rPr>
          <w:rFonts w:ascii="Times New Roman" w:hAnsi="Times New Roman" w:cs="Times New Roman"/>
          <w:sz w:val="24"/>
          <w:szCs w:val="24"/>
          <w:lang w:val="ru-RU"/>
        </w:rPr>
        <w:sectPr w:rsidR="0048085B" w:rsidRPr="007D42A1">
          <w:pgSz w:w="11906" w:h="16383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9072"/>
      <w:bookmarkEnd w:id="5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положениях ФГОС СОО содержатся требования к личностным, метапредметным и предметным результатам освоения школьниками учебны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программ по общеобразовательным предметам. В соответствии с данными требованиями к важнейшим 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личностным результатам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гражданского восп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итания: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иальными институтами в соответствии с их функциями и назначением; готовность к гуманитарной и волонтерской деятельности;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патриотического воспитания: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российской гражданской идентичности, патриотизма, уважения к своему народу, чувст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духовно-нравственного воспитания: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личностное осмысление и принятие сущно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семьи на основе принятия ценностей семейной жизни в соответствии с традициями народов России;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эстетического воспитания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представление об исторически сложившемся культурном многообразии своей страны и мира; способность воспринимать различные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творчества; эст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физического воспитания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 и необходимости ее сохранения (в том числе на основ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трудового воспит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ания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экологического воспитания: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понимании ценности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научного познания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сформированность мировоззрения, соответствующег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ствлению учебной проектно-исследовательской деятельности в сфере истории.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Метапредметные результаты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>В сфере универсальных учебных познавательных действий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владение базовыми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логическими действиями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владение базовыми исследовательскими действиями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осущес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и визуализации.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 сфере универсальных коммуникативных действий: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общение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нтированно вести диалог, уметь смягчать конфликтные ситуации;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осуществление совместной деятельности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командной работе; оценивать полученные результаты и свой вклад в общую работу.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 сфере универсальных регулятивных действий: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владение приемами самоорганизации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учебной и общественной работы – выявлять проблему, задачи, требующие решения; составлять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действий, определять способ решения, последовательно реализовывать намеченный план действий и др.;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владение приемами самоконтроля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становленных ошибок, возникших трудностей;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принятие себя и других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предмета «История» в старшей школе отраж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умений, составляющих структуру предметных результатов, происходит на учебном материал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но и к важнейшим событиям, явлениям, процессам истории нашей страны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древнейших времен до начала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льным историческим материалом урока.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предметным результатам освоения базового курса истории должны отражать: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в., знание достижений страны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и ее народа;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краине и других важнейших событий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в.; особенности развития культуры народов СССР (России).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ческое, политическое и культурное развитие России в ХХ – начале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4) Умение выявлять существенн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5) Умение устанавливать причинно-следственные, пространственны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истории России и человечества в целом в ХХ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– начале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в., оценивать их полноту и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истории России и зарубежных стран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ельности.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ием ресурсов библиотек, музеев и т. д.).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между народами, людьми разных культур; проявление уважения к историческому наследию народов России.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истории.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 том числе по учебному курсу «История Росс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ии»: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ция. Политика «военного коммунизма». Общество, культура в годы революций и Гражданской войны.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сии. Внешняя политика СССР. Укрепление обороноспособности.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1945–1991 гг.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Экономические развитие и реформы.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Политическая сист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ийской Федерации как великой державы в ХХ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ном мире.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Межвоенный период. Революционная волна. Версальско-Вашингтонская система. Страны м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Влас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ть и общество в годы войны. Решающий вклад СССР в Победу.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​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Понимание значимости России в мировых пол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методов обучения и воспитания.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48085B" w:rsidRPr="007D42A1" w:rsidRDefault="006315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48085B" w:rsidRPr="007D42A1" w:rsidRDefault="006315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1914–1945 гг., выявлять п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опытки фальсификации истории;</w:t>
      </w:r>
    </w:p>
    <w:p w:rsidR="0048085B" w:rsidRPr="007D42A1" w:rsidRDefault="006315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2) Знание имен героев Первой м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предметного результата включает следующий перечень знаний 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умений:</w:t>
      </w:r>
    </w:p>
    <w:p w:rsidR="0048085B" w:rsidRPr="007D42A1" w:rsidRDefault="006315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48085B" w:rsidRPr="007D42A1" w:rsidRDefault="006315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деятельности для истории нашей станы и человечества в целом;</w:t>
      </w:r>
    </w:p>
    <w:p w:rsidR="0048085B" w:rsidRPr="007D42A1" w:rsidRDefault="006315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48085B" w:rsidRPr="007D42A1" w:rsidRDefault="006315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оценку деятельности исторических личностей.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чень знаний и умений: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термины в устной речи, при подготовке конспекта, реферата;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самостоятельного изучения исторической информации из истории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и всемирной истории 1914–1945 гг. в форме сложного плана, конспекта, реферата;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гг.;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48085B" w:rsidRPr="007D42A1" w:rsidRDefault="006315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аргументы для подтвер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4) Умение выявлять существенные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черты исторических событий, явлений, процессов 1914–1945 гг.; систематизировать историческую информацию в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перечень знаний и умений: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1914–1945 гг. события, явлен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процессы; факты и мнения, описания и объяснения, гипотезы и теории;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щать историческую информацию по истории России и зарубежных стран 1914–1945 гг.;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 стран в 1914–1945 гг.;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48085B" w:rsidRPr="007D42A1" w:rsidRDefault="006315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изучения исторического материала устанавливать исторические аналогии.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изученного материала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временны́е связи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ий, процессов истории России и зарубежных стран 1914–1945 гг.;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родного края, ист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ории России и зарубежных стран 1914–1945 гг.;</w:t>
      </w:r>
    </w:p>
    <w:p w:rsidR="0048085B" w:rsidRPr="007D42A1" w:rsidRDefault="006315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6) Умение критически анализировать для решения познавательной задачи аутентичные исторически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 работе с историческими источниками.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авторство письменного ис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19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191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4–1945 гг. с учебным текстом, другими источниками исторической информации (в том числе исторической картой/схемой);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г., делать выводы;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48085B" w:rsidRPr="007D42A1" w:rsidRDefault="006315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оценивать полноту и достоверность информации с точки зрения ее соответствия исторической действительности.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использовать правила информационной безопасности при поиске ис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торической информации;</w:t>
      </w:r>
    </w:p>
    <w:p w:rsidR="0048085B" w:rsidRPr="007D42A1" w:rsidRDefault="006315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48085B" w:rsidRPr="007D42A1" w:rsidRDefault="006315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8085B" w:rsidRPr="007D42A1" w:rsidRDefault="006315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России и зарубежных стран 1914–1945 гг.;</w:t>
      </w:r>
    </w:p>
    <w:p w:rsidR="0048085B" w:rsidRPr="007D42A1" w:rsidRDefault="006315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дующий перечень знаний и умений: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показывать и называть на карте/схеме объекты, обозначенные условными знаками, характ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привлекать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стран 1914–1945 гг.; оформлять результаты анализа исторической карты/схемы в виде таблицы, схемы; делать выводы;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информацию, представленную на исторической карте/схеме по истории России и зарубежных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 1914–1945 гг., с информацией из аутентичных исторических источников и источников исторической информации;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визуальных источников историч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визуальные источники исторической инф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ормации по истории России и зарубежных стран 1914–1945 гг. с информацией из других исторических источников, делать выводы;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48085B" w:rsidRPr="007D42A1" w:rsidRDefault="006315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умения, приобретенные в процессе изучения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данного пред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народами России.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традициями и обычаями народов России;</w:t>
      </w:r>
    </w:p>
    <w:p w:rsidR="0048085B" w:rsidRPr="007D42A1" w:rsidRDefault="006315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48085B" w:rsidRPr="007D42A1" w:rsidRDefault="006315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48085B" w:rsidRPr="007D42A1" w:rsidRDefault="006315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общении, посвященно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речевого этикета.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семьи к событиям, явлениям, процессам истории России;</w:t>
      </w:r>
    </w:p>
    <w:p w:rsidR="0048085B" w:rsidRPr="007D42A1" w:rsidRDefault="006315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48085B" w:rsidRPr="007D42A1" w:rsidRDefault="006315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знания по истории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48085B" w:rsidRPr="007D42A1" w:rsidRDefault="006315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11) Зна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накануне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мировой войны. Ход военных действий. Власть, общество, экономика, культура. Предпосылки революции.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коммунизма». Общество, культура в годы революций и Гражданской войны.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СССР. Укрепление обороноспособности.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онный режим, зверства захватчиков. Освободительная миссия Красной Армии. Победа над Японией.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 xml:space="preserve">Решающий вклад СССР в Великую Победу.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памяти о Великой Победе.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мировая война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причины, участники, основные события, результаты. Власть и общество.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нацизм. Народный фронт. Политика «умиротворения агрессора». Культурное развитие.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дующий перечень знаний и умений:</w:t>
      </w:r>
    </w:p>
    <w:p w:rsidR="0048085B" w:rsidRPr="007D42A1" w:rsidRDefault="006315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48085B" w:rsidRPr="007D42A1" w:rsidRDefault="006315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даты важнейших событий и процессов отечественной и всеобщей истории 1914–1945 гг.;</w:t>
      </w:r>
    </w:p>
    <w:p w:rsidR="0048085B" w:rsidRPr="007D42A1" w:rsidRDefault="006315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синхронность исторически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48085B" w:rsidRPr="007D42A1" w:rsidRDefault="006315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процессов истории России 1914–1945 гг.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г.; особенности развития культуры народов СССР (России).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умением верно интерпретировать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предметного результата включает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перечень знаний и умений:</w:t>
      </w:r>
    </w:p>
    <w:p w:rsidR="0048085B" w:rsidRPr="007D42A1" w:rsidRDefault="006315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48085B" w:rsidRPr="007D42A1" w:rsidRDefault="006315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лений, процессов истории России 1945–2022 гг., их значение для истории России и человечества в целом;</w:t>
      </w:r>
    </w:p>
    <w:p w:rsidR="0048085B" w:rsidRPr="007D42A1" w:rsidRDefault="006315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48085B" w:rsidRPr="007D42A1" w:rsidRDefault="006315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2) Знание имен исторических личностей, внесших значительный вклад в социально-экономическое, политическо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 и культурное развитие России в 1945–2022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овека, влияние его деятельности на ход истории.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48085B" w:rsidRPr="007D42A1" w:rsidRDefault="006315F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48085B" w:rsidRPr="007D42A1" w:rsidRDefault="006315F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и последствия событий 1945–2022 гг., в которых у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частвовали выдающиеся исторические личности, для истории России;</w:t>
      </w:r>
    </w:p>
    <w:p w:rsidR="0048085B" w:rsidRPr="007D42A1" w:rsidRDefault="006315F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3) Умение составлять описание (реконструкцию) в устной и письменной форме исторических со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еский материал, в том числе используя источники разных типов.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изученных/изучаемых исторических понятий и терминов из истории России, и всемирной истории 1945–2022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создания памятников культуры;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и объяснять с опорой на фактический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ыть использованы для подтверждения/опровержения какой-либо оценки исторических событий;</w:t>
      </w:r>
    </w:p>
    <w:p w:rsidR="0048085B" w:rsidRPr="007D42A1" w:rsidRDefault="006315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всемирной истории 1945–20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22 гг.; сравнивать предложенную аргументацию, выбирать наиболее аргументированную позицию.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итериями; сравнивать изученные исторические события, явления, процессы.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характерные, существенные признаки событий, процессов, явлений истории России и всеобщей истории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1945–2022 гг.;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 определяемому признаку (хронологии, принадлежности к историческим процессам, типологическим основаниям и др.);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1945–2022 гг.;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давать оц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зарубе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 стран 1945–2022 гг. по самостоятельно определенным критериям; на основе сравнения самостоятельно делать выводы;</w:t>
      </w:r>
    </w:p>
    <w:p w:rsidR="0048085B" w:rsidRPr="007D42A1" w:rsidRDefault="006315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5) Умение устанавливать причинно-следственные, пространстве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2022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исторических событий, явлений, процессов;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 1945–2022 гг.;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ространственно-временных связей исторических событий, явлений, процессов;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события истории родного края, истории России и зарубежных стран 1945–2022 гг.;</w:t>
      </w:r>
    </w:p>
    <w:p w:rsidR="0048085B" w:rsidRPr="007D42A1" w:rsidRDefault="006315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в целом 1945–2022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исторических источников по истории России и всемирной истории 1945–2022 гг.;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идет речь и др., соотносить информацию письменного источника с историческим контекстом;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и зарубежных стран 1945–2022 гг.;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достоверности содержания;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контекстную информацию, описывать вещественный исторический источник;</w:t>
      </w:r>
    </w:p>
    <w:p w:rsidR="0048085B" w:rsidRPr="007D42A1" w:rsidRDefault="006315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стран 1945–2022 гг. в 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48085B" w:rsidRPr="007D42A1" w:rsidRDefault="006315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процессов) истории России и зарубежных стран 1945–2022 гг.;</w:t>
      </w:r>
    </w:p>
    <w:p w:rsidR="0048085B" w:rsidRPr="007D42A1" w:rsidRDefault="006315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8085B" w:rsidRPr="007D42A1" w:rsidRDefault="006315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48085B" w:rsidRPr="007D42A1" w:rsidRDefault="006315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ее соответствия исторической действительности.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гиональном материале (с использованием ресурсов библиотек, музеев и т. д.).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признаки описываемых событий (явлений, процессов) истории России и зарубежных стран 1945–2022 гг.;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план, таблицу, схему;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и др.), изучаемые события, явления, процессы истории России и зарубежных стран 1945–2022 гг.;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пр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едставленной на карте/схеме по истории России и зарубежных стран 1945–2022 гг., проводить сравнение исторических объектов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(размеры территорий стран, расстояния и т. п.), социально-экономических и геополитических условий существования государств, народов, 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елать выводы;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события, явления,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процессы, которым посвящены визуальные источники исторической информации;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лений, процессов истории России и зарубежных стран 1945–2022 гг.;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исто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рическую информацию в виде таблиц, графиков, схем, диаграмм;</w:t>
      </w:r>
    </w:p>
    <w:p w:rsidR="0048085B" w:rsidRPr="007D42A1" w:rsidRDefault="006315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 библиотек, музеев и т. д.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ародами, людьми разных культур; проявление уважения к историческому наследию народов России.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политического, социаль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8085B" w:rsidRPr="007D42A1" w:rsidRDefault="006315F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врагов, достижения общих целей в деле политического, социально-экономического и культурного развития России;</w:t>
      </w:r>
    </w:p>
    <w:p w:rsidR="0048085B" w:rsidRPr="007D42A1" w:rsidRDefault="006315F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бычаев, особенностей культуры народов нашей страны;</w:t>
      </w:r>
    </w:p>
    <w:p w:rsidR="0048085B" w:rsidRPr="007D42A1" w:rsidRDefault="006315F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10) Умение защищать историческую правду, не допускать умаления подвига народа при защите Отечества, готовность давать отпо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 фальсификациям российской истории.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48085B" w:rsidRPr="007D42A1" w:rsidRDefault="006315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раны в событиях, явлениях, процессах истории России и зарубежных стран 1945–2022 гг.;</w:t>
      </w:r>
    </w:p>
    <w:p w:rsidR="0048085B" w:rsidRPr="007D42A1" w:rsidRDefault="006315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правды;</w:t>
      </w:r>
    </w:p>
    <w:p w:rsidR="0048085B" w:rsidRPr="007D42A1" w:rsidRDefault="006315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</w:t>
      </w:r>
      <w:r w:rsidRPr="007D42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ейших достижений культуры, ценностных ориентиров.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ешняя политика. СССР и мировая социалистическая система. Причины распада Советского Союза.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Послевоенные перемены в мире. Холодная</w:t>
      </w: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</w:t>
      </w:r>
      <w:r w:rsidRPr="007D42A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ый мир: глобализация и деглобализация. Геополитический кризис 2022 г. и его влияние на мировую систему.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085B" w:rsidRPr="007D42A1" w:rsidRDefault="006315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1945–2022 гг.;</w:t>
      </w:r>
    </w:p>
    <w:p w:rsidR="0048085B" w:rsidRPr="007D42A1" w:rsidRDefault="006315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48085B" w:rsidRPr="007D42A1" w:rsidRDefault="006315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синхронность исторических процессов отечественной и всеобщей истории 1945–2022 гг., делать выводы о тенденциях развития своей стран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других стран в данный период;</w:t>
      </w:r>
    </w:p>
    <w:p w:rsidR="0048085B" w:rsidRPr="007D42A1" w:rsidRDefault="006315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48085B" w:rsidRPr="007D42A1" w:rsidRDefault="0048085B">
      <w:pPr>
        <w:rPr>
          <w:rFonts w:ascii="Times New Roman" w:hAnsi="Times New Roman" w:cs="Times New Roman"/>
          <w:sz w:val="24"/>
          <w:szCs w:val="24"/>
          <w:lang w:val="ru-RU"/>
        </w:rPr>
        <w:sectPr w:rsidR="0048085B" w:rsidRPr="007D42A1">
          <w:pgSz w:w="11906" w:h="16383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9074"/>
      <w:bookmarkEnd w:id="6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«ИСТОРИЯ»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СТОРИЯ. 1914–1945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Введение.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НАКАН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УНЕ И В ГОДЫ ПЕРВОЙ МИРОВОЙ ВОЙНЫ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Мир в начале ХХ в.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движение. Профсоюзы.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Первая мировая война (1914–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1918).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 составе воюющих блоков (вступление в войну Османской империи, Италии, Болгарии). Четверной союз. Верден. Сомма.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в тылу воюющих стран. Вынужденные переселения, геноцид. Рост антивоенных настроений.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союза. Политические, экономические и социальные последствия Первой мировой войны.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В 1918–1939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 войны к миру.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империй и образование новых национальных государств в Европе. Планы послевоенного устройства мира. 14 пунктов В. Вильсона. Париж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мирная конференция. Лига Наций. Вашингтонская конференция. Версальско-Вашингтонская система.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1920–1930-е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тоталитарного режима в Италии.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тоги). Кейнсианство. Государственное регулирование экономики.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Приход к власти 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ублики.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Азии, Латинской Америки в 1918–1930-е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Мексиканская революция 1910–1917 гг., ее итоги и значение. Реформы и революционные движения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латиноамериканских странах. Народный фронт в Чили.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Международные отношения в 1920–1930-х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Рапалло, выход СССР из дипломатической изоляции). Пакт Бриана–Келлога. «Эра пацифизма».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культуры в 1914–1930-х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Научные открытия первых десятилетий ХХ в. (физика, химия, биология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медицина и др.). Технический прогресс в 1920–1930-х гг. Изменение облика городов.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lastRenderedPageBreak/>
        <w:t>Начало Второй мировой войны.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Причины Второй мировой войны. Нападение Германии на Польшу и начало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 Германии и ее союзников на Балканах.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1941 год. Начало Великой Отечественной войны и войны на Тихом океане.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Положение в оккупированных странах.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«Новый порядок». Нацистская политика геноцида, холокост. Концентрационные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Коренной перелом в войне.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Сталинградская битва. Курская битва. Война в Северной Африке. Высадка союзнических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ойск в Италии и падение режима Муссолини. Перелом в войне на Тихом океане. Тегеранская конференция. «Большая тройка».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Разгром Германии, Японии и их союзников.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 второго фронта в Европе, наступление союзников. Военные операции Красной Армии в 1944–19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Завершение мировой войны на Дальнем Востоке.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Американские атомные бомбардировки Хиросимы и Нагасаки. Вступление СССР в войну прот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Обобщение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1914–1945 гг. 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Введение. Россия в начале ХХ в.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ГОДЫ ПЕРВОЙ МИРОВОЙ ВОЙНЫ И ВЕЛИКОЙ РОССИЙСКОЙ РЕВОЛЮЦИИ (1914–1922)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Власть, экономика и общество в услови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организаций помощи фронту. Введение государством карточной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истемы снабжения в городе и разверстки в деревне.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российская революция (1917–1922)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Великой российской революци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Первые революционные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преобразования большевиков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тделение Церкви от государства.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ВСНХ). Первая Конституция РСФСР 1918 г.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ентральной рады. Восстание чехословацкого корпуса.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на территориях антибольшевистских сил. Будни села: красные продотряды и белые реквизиции.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Гражданской войны 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Государственной комиссии по просвещению 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аконодательное закрепление равноправия полов.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1914–1922 гг.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СОВЕТСКИЙ СОЮЗ В 1920–1930-е гг.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большевиков от «военного коммунизма» и переход к новой эконом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и значение образования СССР. Принятие Конституции СССР 1924 г. Ситуация в Закавказь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Ликвидация небольшевистских партий и установление в СССР однопартийной политической системы. Смерть В. И. Ленина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Социальная политика большевиков. Положение рабочих и крестьян. Эмансипация женщин. Социальные лифты. Становление системы з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ы, артели и ТОЗы.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Советский Союз в 1929–1941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Ликвидация частной торговли и предпринимательства. Кризис снабжения и введение карточной системы.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1932–1933 гг. как следствие коллективизации.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культа личности Сталина. Партийные органы как инструмент сталинской политик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Советская социальная и национальная политика 1930-х гг. Пропага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 и реальные достижения. Конституция СССР 1936 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 советского общества в 1920–1930-е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«Коммунистиче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«нового человека». Пропаганда коллективистских ценностей. Воспитание интернацион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раждения.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литературы и искусства. Создание творческих союзов и их роль в пропаганде советской культуры. Социа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листический реализм. Литература и кинематограф 1930-х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Повседневность 1930-х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 СССР в 1920–1930-е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в Европе. Советские добровольцы в Испании и в Китае. Вооруженные конфликты на озере Хасан, реке Халхин-Гол.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в 1920–1930-е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ОТЕЧЕСТВЕННАЯ ВОЙНА (1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941–1945)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г. на Красной площад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Нацистский оккупационный режим. Генеральный план «Ост». Нацистская пропаганда. Массовые преступления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гитлеровцев против советских граждан. Концлагеря и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уничтожение культурных ценностей.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Коренной перелом в ходе войны (осень 1942–1943 г.) (3 ч)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Сталинградская битва. Германское наступление весной –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 врагом (коллаборационизм): формы, причины, масштабы. Создание ги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война: единс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тво фронта и тыла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военного времени. Фронтовая повсе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арственные меры и общественные инициативы по спасению детей.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</w:t>
      </w:r>
      <w:r w:rsidRPr="007D42A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Битва за Берлин. Капиту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ляция Германии. Репатриация советских граждан в ходе войны и после ее окончания.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народов. Взаимоотношения государства и Церкви.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зации (четыре «Д»).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1945–2022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во второй половине ХХ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новых независимых государств во второй половине ХХ в. Процессы глобализации и развитие национальных государств.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Северной Америки и Европы во второй половине ХХ – начале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Соединенные Штаты Америки.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Послевоенный экономический подъем. Развит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ешняя политика США во второй половине ХХ – начале 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в. Развитие отношений с СССР, Российской Федерацией.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Страны Западной Европы.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республики во Франции. Лейбористы и консерваторы в Ве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>Греции, Португалии, Испании. Экономические кризисы 1970-х – начала 1980-х гг. Неоконсерватизм. Европейски</w:t>
      </w:r>
      <w:r w:rsidRPr="007D42A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й союз.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в.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(экономика, политика, внешнеполитическая ори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ентация, участие в интеграционных процессах).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в.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проблемы и пути модернизации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Обретение независимости и выбор путей развития странами Азии и Африки.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 xml:space="preserve">Страны Восточной, Юго-Восточной и Южной Азии. 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Освоб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Успехи модернизации. Япония после Второй мировой войны: от поражения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Страны Ближнего Востока и Северной Африки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 Турция: политическое развитие, достижения и проблемы модернизации. Иран: реформы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1960–1970-х гг.; исламская революция. Афганистан: смена политических режимов, роль внешних сил.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Гражданская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ойна в Сирии.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Страны Тропической и Южной Африки.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теида на юге Африки и ее падение. Сепаратизм. Гражданские войны и этнические конфликты в Африке.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стран Латинской Америки в середине ХХ в.: проблемы внутреннего развития, влияние США.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Аграрные реформы и импортозамещающая индустриализация. Национал-реформизм. Революция на Кубе. Диктатуры и демократизация в странах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Латинской Америки. Революции конца 1960-х – 1970-х гг. (Перу, Чили, Никарагуа). «Левый поворот» в конце ХХ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во второй половине ХХ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итае, Суэцкий кризис, Карибский (Кубинский) кризис). Создание Движения неприсоединения. Гонка вооружений. Война во Вьетнаме.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опреемник СССР на международной арене. Образование СНГ.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науки и культуры во второй половине ХХ – на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чале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 робототехники. Информационная революция. Интернет.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экологии. Проблема беженцев. Эпидемии в современном мире.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:rsidR="0048085B" w:rsidRPr="007D42A1" w:rsidRDefault="004808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1945–1953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и приоритеты восстановления. Де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 и его окружение. Ужесточение административно-командной системы. Соперничество в 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ый центр и национальные регионы: проблемы взаимоотношений.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середине 1950-х – первой половине 1960-х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Смена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чной власти Хрущева.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Социально-экономическое развитие СССР. «Догнать и перегнать Америку». Попытки ре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продовольственной проблемы. Освоение целинных земель.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Научно-техническая революция в СССР. Военный и гражданский секторы экономики. Создание ракетно-ядерного щита. Начало освоения космоса. Запуск первого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спутника Земли. Исторические полеты Ю. А. Гага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дефицит товаров народного потребления.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Советское государ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ство и общество в середине 1960-х – начале 1980-х гг.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титуция СССР 1977 г. Концепция «развитого социализма».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Развитие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физкультуры и спорта в СССР. 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</w:rPr>
        <w:t>XXII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7D42A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ы. Цензура и самиздат.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И. Брежнев в оценках современников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историков.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Политика перестройки. Распад СССР (1985–1991)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акона о приватизации государственных предприятий.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Съезды народных депутатов – высший орган государственной власти.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Последний этап перестройки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Противостояние союзной и российской власти. Вв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центробежных тенденций и угрозы распада СССР. Декларация о государственном суверенитете РСФСР. Дискус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Реакция мирового сообщества на распад СССР. Россия как преемник СССР на международной арене.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1945–1991 гг. 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В 1992–2022 гг.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построения федеративного государства. Утверждение государственной символики.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</w:t>
      </w:r>
      <w:r w:rsidRPr="007D42A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спорта продовольствия. Финансовые пирамиды. Дефолт 1998 г. и его последствия.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многопартийность и строительство гражданского общества. Основные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48085B" w:rsidRPr="007D42A1" w:rsidRDefault="006315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ХХ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 модернизации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 и гражданское общество. Военная реформа.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рыночной экономики. Начало (2005) и продолжение (2018) реализации приоритетных национальных проектов.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власти.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еформы (2020).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семейной политики и меры по поощрению рождаемости. Пропаганда спорта и здорового образа жизни и их результаты.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спорта. Чемпионат мира по футболу и открытие нового образа России миру.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</w:t>
      </w:r>
      <w:r w:rsidRPr="007D42A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войне (2020).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Центробежные и партнерские тенденции в СНГ. Союзное г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передел мирового нефтегазового рынка.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борьбе с коронавирусной пандемией, оказание помощи зарубежн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Повышение общественной роли СМИ и Интернета. 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1992–2022 гг. </w:t>
      </w:r>
    </w:p>
    <w:p w:rsidR="0048085B" w:rsidRPr="007D42A1" w:rsidRDefault="006315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обобщение</w:t>
      </w:r>
    </w:p>
    <w:p w:rsidR="0048085B" w:rsidRPr="007D42A1" w:rsidRDefault="0048085B">
      <w:pPr>
        <w:rPr>
          <w:rFonts w:ascii="Times New Roman" w:hAnsi="Times New Roman" w:cs="Times New Roman"/>
          <w:sz w:val="24"/>
          <w:szCs w:val="24"/>
          <w:lang w:val="ru-RU"/>
        </w:rPr>
        <w:sectPr w:rsidR="0048085B" w:rsidRPr="007D42A1">
          <w:pgSz w:w="11906" w:h="16383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9070"/>
      <w:bookmarkEnd w:id="7"/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АНИРОВАНИЕ 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611"/>
        <w:gridCol w:w="1282"/>
        <w:gridCol w:w="2274"/>
        <w:gridCol w:w="2378"/>
        <w:gridCol w:w="3363"/>
      </w:tblGrid>
      <w:tr w:rsidR="0048085B" w:rsidRPr="007D42A1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1914—1945 гг.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и в годы Первой мировой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 1918—1939 гг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войны к миру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Азии, Латинской Америки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1918—1930-е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1914—1930-х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Вторая мировая война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мировая война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1914—1945 гг.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российская революция (1917— 1922)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ее последствия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1914— 1922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Раздел.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1920—1930-е гг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годы нэпа (1921—1928)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1929—1941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СССР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Раздел. **Великая Отечественная война (1941—1945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1941— 1945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516"/>
        <w:gridCol w:w="1290"/>
        <w:gridCol w:w="2283"/>
        <w:gridCol w:w="2385"/>
        <w:gridCol w:w="3382"/>
      </w:tblGrid>
      <w:tr w:rsidR="0048085B" w:rsidRPr="007D42A1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Всеобщая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история. 1945—2022 гг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Северной Америки и Европы во второй половине ХХ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Азии, Африки во второй половине ХХ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второй половине ХХ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во второй половине ХХ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и культуры во второй половине ХХ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1945—2022 гг.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СССР в 1945—1991 гг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1945—1953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Советское государство и общество в середине 1960-х —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 1980-х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перестройки. Распад СССР (1985—1991)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1945— 1991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1992—2022 гг</w:t>
            </w: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новой России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(1992—1999)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ХХ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1992— 2022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9071"/>
      <w:bookmarkEnd w:id="8"/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12"/>
        <w:gridCol w:w="1103"/>
        <w:gridCol w:w="2061"/>
        <w:gridCol w:w="2171"/>
        <w:gridCol w:w="1539"/>
        <w:gridCol w:w="2594"/>
      </w:tblGrid>
      <w:tr w:rsidR="0048085B" w:rsidRPr="007D42A1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Всеобщая история. 1914-1945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войны к миру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Великобритания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1920-1930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 в 1920-1930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 в 1920-1930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1918-1930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Латинской Америки в 1918-1930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1920-х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1930-х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в 1914-1930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1914-1930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Разгром Германии, Японии и их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союзников. Итоги Второй мировой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"Всеобщая история.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1914-1945"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Власть, экономика и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в условиях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Хронология революционных событий 1917 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большевиков в политической, экономической и социальной сферах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«военного коммунизма»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в 1914—1922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 Первой мировой и Гражданской войн.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большевиков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в СССР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Коллективизация и ее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культа личности Сталина.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в 1930-е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 1930-х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угрозы мировой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накануне Великой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1920—1930-е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Битва за Москву. Блокада Ленинграда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Нацистский оккупационный режим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Коренной перелом в ходе войны: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боевые действия (осень 1942-1943 гг. 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союзники.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"Все для фронта, все для победы!"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 военного времени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в годы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события на фронтах (1944-сентябрь 1945 гг. 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общество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второго фронта в Европе.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Советско-японская война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1941—1945 гг.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России.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1914-1945"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88"/>
        <w:gridCol w:w="1062"/>
        <w:gridCol w:w="2015"/>
        <w:gridCol w:w="2131"/>
        <w:gridCol w:w="1503"/>
        <w:gridCol w:w="2555"/>
      </w:tblGrid>
      <w:tr w:rsidR="0048085B" w:rsidRPr="007D42A1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Всеобщая история. 1945-2022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США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Западной Европы в конце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Европы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Восточной Европы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восточноевропейских государств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Восточной, Юго-Восточной и Южной Азии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Ближнего Востока и Северной Африки во второй 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Тропической и Южной Африки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стран Латинской Америки в середине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развития международных отношений во второй половине 1940-х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2020-х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конце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во второй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Течения и стили в художественной культуре второй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половины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-начала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"Всеобщая история.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1945-2022 гг."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России. 1945-2022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последствий войны на советскую систему и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экономики в 1945-1953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1945-1953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период оттепели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и профессиональной структуре советского общества к началу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1960­х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СССР в середине 1950-х -первой половине 1960-х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первой половине 1960-х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политика Л. И. Брежнева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Повседневность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городе и в деревне.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середины 1960-х - первой половины 1980-х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Новое мышление Горбачева. Изменения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советской внешней политике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этап перестройки: 1990—1991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1945—1991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приоритеты внешней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многопартийность и строительство гражданского общества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и экономические приоритеты России в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России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Новый облик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российского общества.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конце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Религия, наука и культура России в конце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1992-2022 гг.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обобщение по теме "История России.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1945-2022 гг."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B" w:rsidRPr="007D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085B" w:rsidRPr="007D42A1" w:rsidRDefault="006315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5B" w:rsidRPr="007D42A1" w:rsidRDefault="0048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48085B">
      <w:pPr>
        <w:rPr>
          <w:rFonts w:ascii="Times New Roman" w:hAnsi="Times New Roman" w:cs="Times New Roman"/>
          <w:sz w:val="24"/>
          <w:szCs w:val="24"/>
        </w:rPr>
        <w:sectPr w:rsidR="0048085B" w:rsidRPr="007D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69075"/>
      <w:bookmarkEnd w:id="9"/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ОБЯЗАТЕЛЬНЫЕ </w:t>
      </w:r>
      <w:r w:rsidRPr="007D42A1">
        <w:rPr>
          <w:rFonts w:ascii="Times New Roman" w:hAnsi="Times New Roman" w:cs="Times New Roman"/>
          <w:b/>
          <w:color w:val="000000"/>
          <w:sz w:val="24"/>
          <w:szCs w:val="24"/>
        </w:rPr>
        <w:t>УЧЕБНЫЕ МАТЕРИАЛЫ ДЛЯ УЧЕНИКА</w:t>
      </w: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b71e33a9-cd95-447d-95e3-9301e58b6164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Всеобщая история. Новейшее время, 10 класс/ Белоусов Л.С., Смирнов В.П., Мейер М.С., Акционерное общество «Издательство «Просвещение»</w:t>
      </w:r>
      <w:bookmarkEnd w:id="11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38e844d0-eda2-42b7-8173-d6b241ec0e1e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История. Конец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-начало </w:t>
      </w:r>
      <w:r w:rsidRPr="007D42A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Базовый и углубленный уровень. Сахаров А.Н.,Заг</w:t>
      </w: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ладин Н.В., Петров Ю.А.</w:t>
      </w:r>
      <w:bookmarkEnd w:id="12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8085B" w:rsidRPr="007D42A1" w:rsidRDefault="006315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1390dd75-0c85-4006-9a5f-540214c56983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планы</w:t>
      </w:r>
      <w:bookmarkEnd w:id="13"/>
      <w:r w:rsidRPr="007D42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8085B" w:rsidRPr="007D42A1" w:rsidRDefault="004808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85B" w:rsidRPr="007D42A1" w:rsidRDefault="006315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42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085B" w:rsidRPr="007D42A1" w:rsidRDefault="006315F1" w:rsidP="007D42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48085B" w:rsidRPr="007D42A1">
          <w:pgSz w:w="11906" w:h="16383"/>
          <w:pgMar w:top="1134" w:right="850" w:bottom="1134" w:left="1701" w:header="720" w:footer="720" w:gutter="0"/>
          <w:cols w:space="720"/>
        </w:sectPr>
      </w:pPr>
      <w:r w:rsidRPr="007D42A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D42A1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4" w:name="4446e9c4-0e1b-42a5-bb5d-154dcc153a2c"/>
      <w:r w:rsidRPr="007D42A1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bookmarkEnd w:id="14"/>
    </w:p>
    <w:p w:rsidR="006315F1" w:rsidRPr="007D42A1" w:rsidRDefault="006315F1" w:rsidP="007D42A1">
      <w:pPr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0"/>
      <w:bookmarkEnd w:id="15"/>
    </w:p>
    <w:sectPr w:rsidR="006315F1" w:rsidRPr="007D4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DA"/>
    <w:multiLevelType w:val="multilevel"/>
    <w:tmpl w:val="CF08F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97411"/>
    <w:multiLevelType w:val="multilevel"/>
    <w:tmpl w:val="02721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B3D96"/>
    <w:multiLevelType w:val="multilevel"/>
    <w:tmpl w:val="E7BC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B70E6"/>
    <w:multiLevelType w:val="multilevel"/>
    <w:tmpl w:val="D57A2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12C"/>
    <w:multiLevelType w:val="multilevel"/>
    <w:tmpl w:val="A1D6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A4D26"/>
    <w:multiLevelType w:val="multilevel"/>
    <w:tmpl w:val="C004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496BE5"/>
    <w:multiLevelType w:val="multilevel"/>
    <w:tmpl w:val="1BA0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AD405C"/>
    <w:multiLevelType w:val="multilevel"/>
    <w:tmpl w:val="BA1AE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A2C8F"/>
    <w:multiLevelType w:val="multilevel"/>
    <w:tmpl w:val="5D920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D99"/>
    <w:multiLevelType w:val="multilevel"/>
    <w:tmpl w:val="3E7A2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E3E64"/>
    <w:multiLevelType w:val="multilevel"/>
    <w:tmpl w:val="AC28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0979E4"/>
    <w:multiLevelType w:val="multilevel"/>
    <w:tmpl w:val="00286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A0519"/>
    <w:multiLevelType w:val="multilevel"/>
    <w:tmpl w:val="8B642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CA21D2"/>
    <w:multiLevelType w:val="multilevel"/>
    <w:tmpl w:val="54D60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D1C96"/>
    <w:multiLevelType w:val="multilevel"/>
    <w:tmpl w:val="AF42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AB3DFD"/>
    <w:multiLevelType w:val="multilevel"/>
    <w:tmpl w:val="BFD2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E96014"/>
    <w:multiLevelType w:val="multilevel"/>
    <w:tmpl w:val="5796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373369"/>
    <w:multiLevelType w:val="multilevel"/>
    <w:tmpl w:val="E16A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A271A"/>
    <w:multiLevelType w:val="multilevel"/>
    <w:tmpl w:val="A8D0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FD5E74"/>
    <w:multiLevelType w:val="multilevel"/>
    <w:tmpl w:val="A010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042389"/>
    <w:multiLevelType w:val="multilevel"/>
    <w:tmpl w:val="15A4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FD3E87"/>
    <w:multiLevelType w:val="multilevel"/>
    <w:tmpl w:val="E812A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0"/>
  </w:num>
  <w:num w:numId="17">
    <w:abstractNumId w:val="0"/>
  </w:num>
  <w:num w:numId="18">
    <w:abstractNumId w:val="13"/>
  </w:num>
  <w:num w:numId="19">
    <w:abstractNumId w:val="7"/>
  </w:num>
  <w:num w:numId="20">
    <w:abstractNumId w:val="2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085B"/>
    <w:rsid w:val="0048085B"/>
    <w:rsid w:val="006315F1"/>
    <w:rsid w:val="007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E060"/>
  <w15:docId w15:val="{D0911B4E-1BDD-457A-B37F-E76A8A1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18098</Words>
  <Characters>103162</Characters>
  <Application>Microsoft Office Word</Application>
  <DocSecurity>0</DocSecurity>
  <Lines>859</Lines>
  <Paragraphs>242</Paragraphs>
  <ScaleCrop>false</ScaleCrop>
  <Company/>
  <LinksUpToDate>false</LinksUpToDate>
  <CharactersWithSpaces>121018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2023-05-11T05:14:00Z</dcterms:created>
  <dcterms:modified xsi:type="dcterms:W3CDTF">2023-05-11T05:15:00Z</dcterms:modified>
</cp:coreProperties>
</file>